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un </w:t>
      </w:r>
      <w:r w:rsidR="006501A5" w:rsidRPr="006501A5">
        <w:rPr>
          <w:b/>
          <w:sz w:val="22"/>
          <w:szCs w:val="22"/>
        </w:rPr>
        <w:t>S</w:t>
      </w:r>
      <w:r w:rsidR="006501A5" w:rsidRPr="006501A5">
        <w:rPr>
          <w:b/>
          <w:sz w:val="22"/>
          <w:szCs w:val="22"/>
        </w:rPr>
        <w:t>abiedrība ar ierobežotu atbildību</w:t>
      </w:r>
      <w:r w:rsidR="006501A5" w:rsidRPr="006501A5">
        <w:rPr>
          <w:b/>
          <w:sz w:val="22"/>
          <w:szCs w:val="22"/>
        </w:rPr>
        <w:t xml:space="preserve"> </w:t>
      </w:r>
      <w:proofErr w:type="spellStart"/>
      <w:r w:rsidR="006501A5" w:rsidRPr="006501A5">
        <w:rPr>
          <w:b/>
          <w:sz w:val="22"/>
          <w:szCs w:val="22"/>
        </w:rPr>
        <w:t>Johnson&amp;Johnson</w:t>
      </w:r>
      <w:proofErr w:type="spellEnd"/>
      <w:r w:rsidR="006501A5" w:rsidRPr="006501A5">
        <w:rPr>
          <w:sz w:val="22"/>
          <w:szCs w:val="22"/>
        </w:rPr>
        <w:t xml:space="preserve"> AB Latvijas filiāle</w:t>
      </w:r>
      <w:r w:rsidR="00491F36">
        <w:rPr>
          <w:sz w:val="22"/>
          <w:szCs w:val="22"/>
        </w:rPr>
        <w:t>,</w:t>
      </w:r>
      <w:r w:rsidR="006501A5" w:rsidRPr="006501A5">
        <w:rPr>
          <w:sz w:val="22"/>
          <w:szCs w:val="22"/>
        </w:rPr>
        <w:t xml:space="preserve"> Reģistrācijas Nr. 40003600116</w:t>
      </w:r>
      <w:r w:rsidR="006501A5" w:rsidRPr="006501A5">
        <w:rPr>
          <w:sz w:val="22"/>
          <w:szCs w:val="22"/>
        </w:rPr>
        <w:t xml:space="preserve">, </w:t>
      </w:r>
      <w:r w:rsidRPr="006501A5">
        <w:rPr>
          <w:sz w:val="22"/>
          <w:szCs w:val="22"/>
        </w:rPr>
        <w:t>turpmāk – PĀRDEVĒJS, tā</w:t>
      </w:r>
      <w:r w:rsidR="006501A5" w:rsidRPr="006501A5">
        <w:rPr>
          <w:sz w:val="22"/>
          <w:szCs w:val="22"/>
        </w:rPr>
        <w:t xml:space="preserve"> pilnvarotās personas Andr</w:t>
      </w:r>
      <w:r w:rsidR="002D28CE">
        <w:rPr>
          <w:sz w:val="22"/>
          <w:szCs w:val="22"/>
        </w:rPr>
        <w:t>a</w:t>
      </w:r>
      <w:r w:rsidR="006501A5" w:rsidRPr="006501A5">
        <w:rPr>
          <w:sz w:val="22"/>
          <w:szCs w:val="22"/>
        </w:rPr>
        <w:t xml:space="preserve"> </w:t>
      </w:r>
      <w:proofErr w:type="spellStart"/>
      <w:r w:rsidR="006501A5" w:rsidRPr="006501A5">
        <w:rPr>
          <w:sz w:val="22"/>
          <w:szCs w:val="22"/>
        </w:rPr>
        <w:t>Pušpur</w:t>
      </w:r>
      <w:r w:rsidR="002D28CE">
        <w:rPr>
          <w:sz w:val="22"/>
          <w:szCs w:val="22"/>
        </w:rPr>
        <w:t>a</w:t>
      </w:r>
      <w:proofErr w:type="spellEnd"/>
      <w:r w:rsidRPr="006501A5">
        <w:rPr>
          <w:sz w:val="22"/>
          <w:szCs w:val="22"/>
        </w:rPr>
        <w:t xml:space="preserve"> personā, kas darbojas uz </w:t>
      </w:r>
      <w:r w:rsidR="002D28CE">
        <w:rPr>
          <w:sz w:val="22"/>
          <w:szCs w:val="22"/>
        </w:rPr>
        <w:t>pilnvaras</w:t>
      </w:r>
      <w:r w:rsidRPr="006501A5">
        <w:rPr>
          <w:sz w:val="22"/>
          <w:szCs w:val="22"/>
        </w:rPr>
        <w:t xml:space="preserve"> pamata</w:t>
      </w:r>
      <w:r w:rsidRPr="002B3DCE">
        <w:rPr>
          <w:sz w:val="22"/>
          <w:szCs w:val="22"/>
        </w:rPr>
        <w:t xml:space="preserve">,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FA2633" w:rsidRPr="00FA2633">
        <w:rPr>
          <w:b/>
          <w:sz w:val="22"/>
          <w:szCs w:val="22"/>
        </w:rPr>
        <w:t>9201,92</w:t>
      </w:r>
      <w:r w:rsidR="005C005B">
        <w:rPr>
          <w:sz w:val="22"/>
          <w:szCs w:val="22"/>
        </w:rPr>
        <w:t xml:space="preserve"> </w:t>
      </w:r>
      <w:r w:rsidRPr="002B3DCE">
        <w:rPr>
          <w:sz w:val="22"/>
          <w:szCs w:val="22"/>
        </w:rPr>
        <w:t>(</w:t>
      </w:r>
      <w:r w:rsidR="00FA2633">
        <w:rPr>
          <w:i/>
          <w:iCs/>
          <w:sz w:val="22"/>
          <w:szCs w:val="22"/>
        </w:rPr>
        <w:t xml:space="preserve">deviņi tūkstoši divi simti viens </w:t>
      </w:r>
      <w:proofErr w:type="spellStart"/>
      <w:r w:rsidR="00FA2633">
        <w:rPr>
          <w:i/>
          <w:iCs/>
          <w:sz w:val="22"/>
          <w:szCs w:val="22"/>
        </w:rPr>
        <w:t>euro</w:t>
      </w:r>
      <w:proofErr w:type="spellEnd"/>
      <w:r w:rsidR="00FA2633">
        <w:rPr>
          <w:i/>
          <w:iCs/>
          <w:sz w:val="22"/>
          <w:szCs w:val="22"/>
        </w:rPr>
        <w:t xml:space="preserve"> un deviņdesmit divi centi</w:t>
      </w:r>
      <w:r w:rsidRPr="002B3DCE">
        <w:rPr>
          <w:sz w:val="22"/>
          <w:szCs w:val="22"/>
        </w:rPr>
        <w:t xml:space="preserve">), tajā skaitā pievienotās vērtības nodoklis </w:t>
      </w:r>
      <w:r w:rsidR="00FA2633">
        <w:rPr>
          <w:sz w:val="22"/>
          <w:szCs w:val="22"/>
        </w:rPr>
        <w:t>12</w:t>
      </w:r>
      <w:r w:rsidRPr="002B3DCE">
        <w:rPr>
          <w:sz w:val="22"/>
          <w:szCs w:val="22"/>
        </w:rPr>
        <w:t>% (div</w:t>
      </w:r>
      <w:r w:rsidR="00FA2633">
        <w:rPr>
          <w:sz w:val="22"/>
          <w:szCs w:val="22"/>
        </w:rPr>
        <w:t>padsmit</w:t>
      </w:r>
      <w:r w:rsidRPr="002B3DCE">
        <w:rPr>
          <w:sz w:val="22"/>
          <w:szCs w:val="22"/>
        </w:rPr>
        <w:t xml:space="preserve"> procent</w:t>
      </w:r>
      <w:r w:rsidR="00FA2633">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AD0FB7">
        <w:rPr>
          <w:sz w:val="22"/>
          <w:szCs w:val="22"/>
        </w:rPr>
        <w:t>5</w:t>
      </w:r>
      <w:r w:rsidRPr="002B3DCE">
        <w:rPr>
          <w:sz w:val="22"/>
          <w:szCs w:val="22"/>
        </w:rPr>
        <w:t xml:space="preserve"> (</w:t>
      </w:r>
      <w:r w:rsidR="00AD0FB7">
        <w:rPr>
          <w:i/>
          <w:iCs/>
          <w:sz w:val="22"/>
          <w:szCs w:val="22"/>
        </w:rPr>
        <w:t>piecām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AD0FB7">
        <w:rPr>
          <w:sz w:val="22"/>
          <w:szCs w:val="22"/>
        </w:rPr>
        <w:t xml:space="preserve">1 </w:t>
      </w:r>
      <w:r w:rsidRPr="002B3DCE">
        <w:rPr>
          <w:sz w:val="22"/>
          <w:szCs w:val="22"/>
        </w:rPr>
        <w:t>(</w:t>
      </w:r>
      <w:r w:rsidRPr="005C005B">
        <w:rPr>
          <w:i/>
          <w:iCs/>
          <w:sz w:val="22"/>
          <w:szCs w:val="22"/>
        </w:rPr>
        <w:t>v</w:t>
      </w:r>
      <w:r w:rsidR="00AD0FB7">
        <w:rPr>
          <w:i/>
          <w:iCs/>
          <w:sz w:val="22"/>
          <w:szCs w:val="22"/>
        </w:rPr>
        <w:t>ienu</w:t>
      </w:r>
      <w:r w:rsidRPr="002B3DCE">
        <w:rPr>
          <w:sz w:val="22"/>
          <w:szCs w:val="22"/>
        </w:rPr>
        <w:t>) lap</w:t>
      </w:r>
      <w:r w:rsidR="00AD0FB7">
        <w:rPr>
          <w:sz w:val="22"/>
          <w:szCs w:val="22"/>
        </w:rPr>
        <w:t>u</w:t>
      </w:r>
      <w:bookmarkStart w:id="0" w:name="_GoBack"/>
      <w:bookmarkEnd w:id="0"/>
      <w:r w:rsidRPr="002B3DCE">
        <w:rPr>
          <w:sz w:val="22"/>
          <w:szCs w:val="22"/>
        </w:rPr>
        <w:t xml:space="preserve">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2D28CE" w:rsidP="003C06FB">
            <w:pPr>
              <w:jc w:val="both"/>
              <w:rPr>
                <w:b/>
                <w:sz w:val="22"/>
                <w:szCs w:val="22"/>
              </w:rPr>
            </w:pPr>
            <w:proofErr w:type="spellStart"/>
            <w:r>
              <w:rPr>
                <w:b/>
                <w:sz w:val="22"/>
                <w:szCs w:val="22"/>
              </w:rPr>
              <w:t>Johnson&amp;Johnson</w:t>
            </w:r>
            <w:proofErr w:type="spellEnd"/>
            <w:r>
              <w:rPr>
                <w:b/>
                <w:sz w:val="22"/>
                <w:szCs w:val="22"/>
              </w:rPr>
              <w:t xml:space="preserve"> AB Latvijas filiāle</w:t>
            </w:r>
            <w:r w:rsidR="004515F5" w:rsidRPr="00004CD9">
              <w:rPr>
                <w:b/>
                <w:bCs/>
                <w:sz w:val="22"/>
                <w:szCs w:val="22"/>
              </w:rPr>
              <w:t xml:space="preserve">   </w:t>
            </w:r>
          </w:p>
          <w:p w:rsidR="004515F5" w:rsidRPr="00004CD9" w:rsidRDefault="004515F5" w:rsidP="003C06FB">
            <w:pPr>
              <w:jc w:val="both"/>
              <w:rPr>
                <w:bCs/>
                <w:sz w:val="22"/>
                <w:szCs w:val="22"/>
              </w:rPr>
            </w:pPr>
            <w:r w:rsidRPr="00004CD9">
              <w:rPr>
                <w:bCs/>
                <w:sz w:val="22"/>
                <w:szCs w:val="22"/>
              </w:rPr>
              <w:t xml:space="preserve">Mūkusalas iela </w:t>
            </w:r>
            <w:r w:rsidR="002D28CE">
              <w:rPr>
                <w:bCs/>
                <w:sz w:val="22"/>
                <w:szCs w:val="22"/>
              </w:rPr>
              <w:t>101</w:t>
            </w:r>
            <w:r w:rsidRPr="00004CD9">
              <w:rPr>
                <w:bCs/>
                <w:sz w:val="22"/>
                <w:szCs w:val="22"/>
              </w:rPr>
              <w:t xml:space="preserve">, Rīga, LV-1004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40003</w:t>
            </w:r>
            <w:r w:rsidR="002D28CE">
              <w:rPr>
                <w:bCs/>
                <w:sz w:val="22"/>
                <w:szCs w:val="22"/>
              </w:rPr>
              <w:t>600116</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2D28CE">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2D28CE">
              <w:rPr>
                <w:bCs/>
                <w:sz w:val="22"/>
                <w:szCs w:val="22"/>
              </w:rPr>
              <w:t>61HABA0551003244927</w:t>
            </w:r>
          </w:p>
          <w:p w:rsidR="004515F5" w:rsidRPr="00004CD9" w:rsidRDefault="004515F5" w:rsidP="003C06FB">
            <w:pPr>
              <w:jc w:val="both"/>
              <w:rPr>
                <w:bCs/>
                <w:sz w:val="22"/>
                <w:szCs w:val="22"/>
              </w:rPr>
            </w:pPr>
            <w:r w:rsidRPr="00004CD9">
              <w:rPr>
                <w:bCs/>
                <w:sz w:val="22"/>
                <w:szCs w:val="22"/>
              </w:rPr>
              <w:t xml:space="preserve">Kods </w:t>
            </w:r>
            <w:r w:rsidR="002D28CE">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2D28CE">
              <w:rPr>
                <w:bCs/>
                <w:sz w:val="22"/>
                <w:szCs w:val="22"/>
              </w:rPr>
              <w:t>67103402</w:t>
            </w:r>
          </w:p>
          <w:p w:rsidR="004515F5" w:rsidRPr="00004CD9" w:rsidRDefault="004515F5" w:rsidP="003C06FB">
            <w:pPr>
              <w:jc w:val="both"/>
              <w:rPr>
                <w:sz w:val="22"/>
                <w:szCs w:val="22"/>
              </w:rPr>
            </w:pPr>
            <w:r w:rsidRPr="00004CD9">
              <w:rPr>
                <w:bCs/>
                <w:sz w:val="22"/>
                <w:szCs w:val="22"/>
              </w:rPr>
              <w:tab/>
            </w:r>
          </w:p>
          <w:p w:rsidR="004515F5" w:rsidRPr="004515F5" w:rsidRDefault="002D28CE" w:rsidP="003C06FB">
            <w:pPr>
              <w:jc w:val="both"/>
              <w:rPr>
                <w:sz w:val="22"/>
                <w:szCs w:val="22"/>
              </w:rPr>
            </w:pPr>
            <w:r>
              <w:rPr>
                <w:sz w:val="22"/>
                <w:szCs w:val="22"/>
              </w:rPr>
              <w:t>Pilnvarotā persona</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2D28CE" w:rsidP="003C06FB">
            <w:pPr>
              <w:jc w:val="right"/>
              <w:rPr>
                <w:sz w:val="22"/>
                <w:szCs w:val="22"/>
              </w:rPr>
            </w:pPr>
            <w:proofErr w:type="spellStart"/>
            <w:r>
              <w:rPr>
                <w:sz w:val="22"/>
                <w:szCs w:val="22"/>
              </w:rPr>
              <w:t>A.Pušpurs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ED8" w:rsidRDefault="00740ED8" w:rsidP="00086FB0">
      <w:r>
        <w:separator/>
      </w:r>
    </w:p>
  </w:endnote>
  <w:endnote w:type="continuationSeparator" w:id="0">
    <w:p w:rsidR="00740ED8" w:rsidRDefault="00740ED8"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ED8" w:rsidRDefault="00740ED8" w:rsidP="00086FB0">
      <w:r>
        <w:separator/>
      </w:r>
    </w:p>
  </w:footnote>
  <w:footnote w:type="continuationSeparator" w:id="0">
    <w:p w:rsidR="00740ED8" w:rsidRDefault="00740ED8"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E2CD8"/>
    <w:rsid w:val="002D28CE"/>
    <w:rsid w:val="00330582"/>
    <w:rsid w:val="004515F5"/>
    <w:rsid w:val="00491F36"/>
    <w:rsid w:val="005C005B"/>
    <w:rsid w:val="006501A5"/>
    <w:rsid w:val="00681838"/>
    <w:rsid w:val="007307BB"/>
    <w:rsid w:val="00740ED8"/>
    <w:rsid w:val="0078505E"/>
    <w:rsid w:val="007F56A1"/>
    <w:rsid w:val="00831E0F"/>
    <w:rsid w:val="00874506"/>
    <w:rsid w:val="008D655E"/>
    <w:rsid w:val="009270FD"/>
    <w:rsid w:val="00985E12"/>
    <w:rsid w:val="00A67E9C"/>
    <w:rsid w:val="00AD0FB7"/>
    <w:rsid w:val="00C245CA"/>
    <w:rsid w:val="00CF6774"/>
    <w:rsid w:val="00D14C93"/>
    <w:rsid w:val="00D824AE"/>
    <w:rsid w:val="00DA759B"/>
    <w:rsid w:val="00EC1F3D"/>
    <w:rsid w:val="00FA2633"/>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017912"/>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6401</Words>
  <Characters>3650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19</cp:revision>
  <dcterms:created xsi:type="dcterms:W3CDTF">2019-02-07T13:55:00Z</dcterms:created>
  <dcterms:modified xsi:type="dcterms:W3CDTF">2019-02-11T09:25:00Z</dcterms:modified>
</cp:coreProperties>
</file>